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40" w:type="dxa"/>
        <w:tblInd w:w="-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"/>
        <w:gridCol w:w="6611"/>
        <w:gridCol w:w="3241"/>
        <w:gridCol w:w="3529"/>
      </w:tblGrid>
      <w:tr w:rsidR="001056C6" w:rsidRPr="007714C3" w:rsidTr="007714C3">
        <w:trPr>
          <w:tblHeader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56C6" w:rsidRPr="007714C3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56C6" w:rsidRPr="007714C3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PARAMETRY GRANICZNE ANALIZATORA IMMUNOCHEMICZNEGO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56C6" w:rsidRPr="007714C3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WYMAGANE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056C6" w:rsidRPr="007714C3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OFEROWANE</w:t>
            </w:r>
          </w:p>
          <w:p w:rsidR="001056C6" w:rsidRPr="007714C3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(wypełnia Wykonawca)</w:t>
            </w:r>
          </w:p>
          <w:p w:rsidR="001056C6" w:rsidRPr="007714C3" w:rsidRDefault="001056C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56C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 w:rsidP="007D185E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Analizator immunochemiczny,</w:t>
            </w:r>
            <w:r w:rsidR="003A6C76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fabrycznie nowy,</w:t>
            </w: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rok produkcji minimum </w:t>
            </w:r>
            <w:r w:rsidR="007D185E" w:rsidRPr="007714C3">
              <w:rPr>
                <w:rFonts w:asciiTheme="minorHAnsi" w:hAnsiTheme="minorHAnsi" w:cstheme="minorHAnsi"/>
                <w:sz w:val="24"/>
                <w:szCs w:val="24"/>
              </w:rPr>
              <w:t>2025</w:t>
            </w:r>
            <w:r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 xml:space="preserve"> </w:t>
            </w: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wraz z drukarką.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  <w:p w:rsidR="001056C6" w:rsidRPr="007714C3" w:rsidRDefault="001056C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Pełna nazwa: __________________</w:t>
            </w:r>
          </w:p>
          <w:p w:rsidR="001056C6" w:rsidRPr="007714C3" w:rsidRDefault="00C404FD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Rok produkcji:__________________</w:t>
            </w:r>
          </w:p>
          <w:p w:rsidR="001056C6" w:rsidRPr="007714C3" w:rsidRDefault="00C404FD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Producent: ____________________</w:t>
            </w:r>
          </w:p>
        </w:tc>
      </w:tr>
      <w:tr w:rsidR="003A6C7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A05D2A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Analizator zgodny </w:t>
            </w:r>
            <w:r w:rsidR="00AC05C2" w:rsidRPr="007714C3">
              <w:rPr>
                <w:rFonts w:asciiTheme="minorHAnsi" w:hAnsiTheme="minorHAnsi" w:cstheme="minorHAnsi"/>
                <w:sz w:val="24"/>
                <w:szCs w:val="24"/>
              </w:rPr>
              <w:t>z Rozporządzeniem 2017/746 w sprawie wyrobów medycznych do diagnostyki in vitro (IVDR)  bądź z Dyrektywą Rady 98/79/CE (IVDD) wraz z późniejszymi przepisami przejściowymi, potwierdzone deklaracją zgodności i/lub certyfikatem CE (w zależności od klasy wyrobu medycznego do diagnostyki in vitro) oraz stosownymi oświadczeniami Wykonawcy (jeśli są wymagane).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56C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 w:rsidP="00986A14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Fizyczne podłączenie oferowa</w:t>
            </w:r>
            <w:bookmarkStart w:id="0" w:name="_GoBack"/>
            <w:bookmarkEnd w:id="0"/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nego analizatora immunochemicznego do linii GLP posiadanej przez Zamawiającego.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1056C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56C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Szeroki zakres wykonywanych oznaczeń a w tym wymagane:</w:t>
            </w:r>
          </w:p>
          <w:p w:rsidR="001056C6" w:rsidRPr="007714C3" w:rsidRDefault="001056C6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B45274" w:rsidRPr="007714C3" w:rsidRDefault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ACTH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Androstendion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Cyfra 21-1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DHEA-S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Estradiol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GDF-15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Hormon anty-Mullerowski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Hormon wzrostu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IGF-1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Interleukina-6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Kalcytonina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Kortyzol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NfL</w:t>
            </w:r>
          </w:p>
          <w:p w:rsidR="001056C6" w:rsidRPr="007714C3" w:rsidRDefault="00C404FD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P/ciała anty-HAV IgM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1056C6" w:rsidRPr="007714C3" w:rsidRDefault="00C404FD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P/ciała anty-HCV oraz  antygen HCV w jednym oznaczeniu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7D185E" w:rsidRPr="007714C3" w:rsidRDefault="007D185E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P/ciała HIV-1 oraz HIV-2 wraz z Antygen</w:t>
            </w:r>
            <w:r w:rsidR="009C072B" w:rsidRPr="007714C3">
              <w:rPr>
                <w:rFonts w:asciiTheme="minorHAnsi" w:hAnsiTheme="minorHAnsi" w:cstheme="minorHAnsi"/>
                <w:sz w:val="24"/>
                <w:szCs w:val="24"/>
              </w:rPr>
              <w:t>em</w:t>
            </w: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HIV-1 p24 </w:t>
            </w:r>
            <w:r w:rsidRPr="007714C3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(oddzielne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wyniki dla HIV Ag i</w:t>
            </w: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p/ciał anty-HIV)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B45274" w:rsidP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P/ciała przeciwko HTLV-I/II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1056C6" w:rsidRPr="007714C3" w:rsidRDefault="00C404FD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P/ciała przeciwko peroksydazie tarczycowej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1056C6" w:rsidRPr="007714C3" w:rsidRDefault="00C404FD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P/ciała przeciwko tyreoglobulinie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1056C6" w:rsidRPr="007714C3" w:rsidRDefault="00C404FD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P/ciała przeciwko receptorowi TSH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PTH intact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PTH w trybie STAT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1056C6" w:rsidRPr="007714C3" w:rsidRDefault="00C404FD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sFlt-1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1056C6" w:rsidRPr="007714C3" w:rsidRDefault="00C404FD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Tyreoglobulina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1056C6" w:rsidRPr="007714C3" w:rsidRDefault="00C404FD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AFP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1056C6" w:rsidRPr="007714C3" w:rsidRDefault="00C404FD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PIVKA-II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1056C6" w:rsidRPr="007714C3" w:rsidRDefault="00C6277A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Algorytm GAAD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3C499C" w:rsidRPr="007714C3" w:rsidRDefault="003C499C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Globulina wiążąca hormony płciowe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Beta-amyloid (1-42)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 xml:space="preserve"> *</w:t>
            </w:r>
          </w:p>
          <w:p w:rsidR="00B45274" w:rsidRPr="007714C3" w:rsidRDefault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Białko Tau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9B7CE6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Białko fosfo-</w:t>
            </w:r>
            <w:r w:rsidR="00B45274" w:rsidRPr="007714C3">
              <w:rPr>
                <w:rFonts w:asciiTheme="minorHAnsi" w:hAnsiTheme="minorHAnsi" w:cstheme="minorHAnsi"/>
                <w:sz w:val="24"/>
                <w:szCs w:val="24"/>
              </w:rPr>
              <w:t>Tau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9B7CE6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Białko fosfo-</w:t>
            </w:r>
            <w:r w:rsidR="00B45274" w:rsidRPr="007714C3">
              <w:rPr>
                <w:rFonts w:asciiTheme="minorHAnsi" w:hAnsiTheme="minorHAnsi" w:cstheme="minorHAnsi"/>
                <w:sz w:val="24"/>
                <w:szCs w:val="24"/>
              </w:rPr>
              <w:t>Tau 181p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B45274" w:rsidRPr="007714C3" w:rsidRDefault="009B7CE6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Białko fosfo-</w:t>
            </w:r>
            <w:r w:rsidR="00B45274" w:rsidRPr="007714C3">
              <w:rPr>
                <w:rFonts w:asciiTheme="minorHAnsi" w:hAnsiTheme="minorHAnsi" w:cstheme="minorHAnsi"/>
                <w:sz w:val="24"/>
                <w:szCs w:val="24"/>
              </w:rPr>
              <w:t>Tau 217p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B45274" w:rsidRPr="007714C3" w:rsidRDefault="00B4527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Beta-amyloid (1-40)</w:t>
            </w:r>
            <w:r w:rsidR="00A05D2A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05D2A"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</w:p>
          <w:p w:rsidR="001056C6" w:rsidRPr="007714C3" w:rsidRDefault="00B45274" w:rsidP="00A05D2A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ApoE4p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TAK</w:t>
            </w:r>
          </w:p>
          <w:p w:rsidR="001056C6" w:rsidRPr="007714C3" w:rsidRDefault="001056C6" w:rsidP="008C58DA">
            <w:pPr>
              <w:widowControl w:val="0"/>
              <w:spacing w:after="60"/>
              <w:ind w:left="121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  <w:p w:rsidR="001056C6" w:rsidRPr="007714C3" w:rsidRDefault="00A05D2A" w:rsidP="008C58DA">
            <w:pPr>
              <w:pStyle w:val="Akapitzlist"/>
              <w:widowControl w:val="0"/>
              <w:spacing w:after="60"/>
              <w:ind w:left="841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7714C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 xml:space="preserve">* </w:t>
            </w: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zestaw odczynnikowy posiadający IVD CE</w:t>
            </w:r>
          </w:p>
          <w:p w:rsidR="001056C6" w:rsidRPr="007714C3" w:rsidRDefault="001056C6">
            <w:pPr>
              <w:widowControl w:val="0"/>
              <w:spacing w:after="60"/>
              <w:ind w:left="12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056C6" w:rsidRPr="007714C3" w:rsidRDefault="001056C6">
            <w:pPr>
              <w:widowControl w:val="0"/>
              <w:spacing w:after="60"/>
              <w:ind w:left="12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1056C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56C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9462E" w:rsidP="00F51661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Chłodzona karuzela (</w:t>
            </w:r>
            <w:r w:rsidR="00C404FD" w:rsidRPr="007714C3">
              <w:rPr>
                <w:rFonts w:asciiTheme="minorHAnsi" w:hAnsiTheme="minorHAnsi" w:cstheme="minorHAnsi"/>
                <w:sz w:val="24"/>
                <w:szCs w:val="24"/>
              </w:rPr>
              <w:t>maksymalna temperatura 15</w:t>
            </w:r>
            <w:r w:rsidR="00F51661" w:rsidRPr="007714C3">
              <w:rPr>
                <w:rFonts w:asciiTheme="minorHAnsi" w:hAnsiTheme="minorHAnsi" w:cstheme="minorHAnsi"/>
                <w:sz w:val="24"/>
                <w:szCs w:val="24"/>
              </w:rPr>
              <w:t>°C</w:t>
            </w:r>
            <w:r w:rsidR="00C404FD" w:rsidRPr="007714C3">
              <w:rPr>
                <w:rFonts w:asciiTheme="minorHAnsi" w:hAnsiTheme="minorHAnsi" w:cstheme="minorHAnsi"/>
                <w:sz w:val="24"/>
                <w:szCs w:val="24"/>
              </w:rPr>
              <w:t>) odcz</w:t>
            </w:r>
            <w:r w:rsidR="004C2842" w:rsidRPr="007714C3">
              <w:rPr>
                <w:rFonts w:asciiTheme="minorHAnsi" w:hAnsiTheme="minorHAnsi" w:cstheme="minorHAnsi"/>
                <w:sz w:val="24"/>
                <w:szCs w:val="24"/>
              </w:rPr>
              <w:t>ynnikowa o pojemności minimum 30</w:t>
            </w:r>
            <w:r w:rsidR="00C404FD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miejsc.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1056C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56C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Wbudowany system kontroli jakości z analizą statystyczną i graficzną.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1056C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56C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Analizator pracujący w technologii chemiluminescencji, o wydajności nie mniejszej niż 150 oznaczeń na godzinę.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1056C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56C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Możliwość dokładania na pokład analizatora wszystkich odczynników oraz materiałów zużywalnych potrzebnych do wykonania wszystkich oznaczeń bez konieczności przerywania analizy.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1056C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56C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Przebieg reakcji w jednorazowej kuwecie.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1056C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56C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10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Pipetowanie próbek pacjentów za pomocą jednorazowych tipsów.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1056C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56C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11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56C6" w:rsidRPr="007714C3" w:rsidRDefault="00C404FD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Możliwość wykonywania badań w:</w:t>
            </w:r>
          </w:p>
          <w:p w:rsidR="001056C6" w:rsidRPr="007714C3" w:rsidRDefault="00C404FD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- surowicy</w:t>
            </w:r>
          </w:p>
          <w:p w:rsidR="001056C6" w:rsidRPr="007714C3" w:rsidRDefault="00C404FD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- osoczu</w:t>
            </w:r>
          </w:p>
          <w:p w:rsidR="001056C6" w:rsidRPr="007714C3" w:rsidRDefault="00C404FD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- ślinie</w:t>
            </w:r>
          </w:p>
          <w:p w:rsidR="003A6C76" w:rsidRPr="007714C3" w:rsidRDefault="003A6C76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- płynie mózgowo-rdzeniowym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7714C3" w:rsidRDefault="001056C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Identyfikacja próbek badanych na podstawie kodu kreskowego.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13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Czujniki skrzepów dla próbek.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14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Możliwość wykonywania automatycznych rozcieńczeń próbek.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15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CE3FF1" w:rsidP="00CE3FF1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Zastosowanie materiałów kontrolnych do wewnątrzlaboratoryjnej kontroli jakości w zakresie wszystkich oznaczeń immunochemicznych, które  oferuje Wykonawca.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8DA" w:rsidRPr="007714C3" w:rsidRDefault="008C58DA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C58DA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  <w:r w:rsidR="008C58DA"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,</w:t>
            </w:r>
          </w:p>
          <w:p w:rsidR="003A6C76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PODAĆ DOSTĘPNE PARAMETRY OBJĘTE KONTROLĄ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16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Monitorowanie zużycia odczynników i materiałów zużywalnych w aparacie.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Podłączenie analizatora do systemu uzdatniania wody posiadanego przez Zamawiającego.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C0BD2" w:rsidP="003C0BD2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Dwukierunkowa komunikacja danych z posiadanym przez Zamawiającego laboratoryjnym systemem informatycznym (InfoMedica, Asseco), a analizatorem immunochemicznym włączonym do lokalnej sieci laboratorium poprzez połączenie sieciowe – protokół internetowy (TCP/IP). Dwukierunkowa komunikacja powinna polegać na odpytywaniu systemu laboratoryjnego przez linię GLP o zlecenia przypisane do próbek oraz przekazywanie danych z wynikami do systemu laboratoryjnego posiadanego przez Zamawiającego po wykonaniu zlecenia.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Podłączenie analizatora do posiadanej przez Zamawiającego rozdzielni podtrzymującej pracę analizatorów podczas nagłego </w:t>
            </w:r>
            <w:r w:rsidRPr="007714C3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zaniku napięcia sieci elektrycznej (</w:t>
            </w:r>
            <w:r w:rsidR="00CE3FF1" w:rsidRPr="007714C3">
              <w:rPr>
                <w:rFonts w:asciiTheme="minorHAnsi" w:hAnsiTheme="minorHAnsi" w:cstheme="minorHAnsi"/>
                <w:sz w:val="24"/>
                <w:szCs w:val="24"/>
              </w:rPr>
              <w:t>w zamian tradycyjnego UPS</w:t>
            </w: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).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Podłączenie  i pokrycia kosztów podłączenia analizatora  do posiadanego przez Zamawiającego </w:t>
            </w:r>
            <w:r w:rsidR="00CE3FF1" w:rsidRPr="007714C3">
              <w:rPr>
                <w:rFonts w:asciiTheme="minorHAnsi" w:hAnsiTheme="minorHAnsi" w:cstheme="minorHAnsi"/>
                <w:sz w:val="24"/>
                <w:szCs w:val="24"/>
              </w:rPr>
              <w:t>systemu informatycznego</w:t>
            </w:r>
            <w:r w:rsidR="003C0BD2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E3FF1" w:rsidRPr="007714C3">
              <w:rPr>
                <w:rFonts w:asciiTheme="minorHAnsi" w:hAnsiTheme="minorHAnsi" w:cstheme="minorHAnsi"/>
                <w:sz w:val="24"/>
                <w:szCs w:val="24"/>
              </w:rPr>
              <w:t>InfoMedica Laboratorium firmy Asseco Poland S.A.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8DA" w:rsidRPr="007714C3" w:rsidRDefault="008C58DA" w:rsidP="001F1D7E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1F1D7E" w:rsidRPr="007714C3" w:rsidRDefault="001F1D7E" w:rsidP="001F1D7E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  <w:p w:rsidR="008C58DA" w:rsidRPr="007714C3" w:rsidRDefault="008C58DA" w:rsidP="001F1D7E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1F1D7E" w:rsidRPr="007714C3" w:rsidRDefault="001F1D7E" w:rsidP="001F1D7E">
            <w:pPr>
              <w:pStyle w:val="Tekstpodstawowy21"/>
              <w:widowControl w:val="0"/>
              <w:spacing w:after="60" w:line="240" w:lineRule="auto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</w:rPr>
              <w:t>WYMAGANA JEST PEŁNA TRANSMISJA DANYCH</w:t>
            </w:r>
          </w:p>
          <w:p w:rsidR="003A6C76" w:rsidRPr="007714C3" w:rsidRDefault="001F1D7E" w:rsidP="003C0BD2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(analizator przesyła do posiadanego przez Zamawiającego systemu informatycznego dane pacjenta tj. imię, nazwisko, PESEL oraz SID zlecenia, nazwę badania, wynik badania wraz z jednostką,</w:t>
            </w:r>
            <w:r w:rsidR="003C0BD2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datę wyniku oraz nazwę aparatu,</w:t>
            </w: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na którym zostało wykonane badanie)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Wykonywanie w czasie trwania umowy okresowych przeglądów technicznych analizatora (zgodnie z zaleceniami producenta urządzenia minimum 1 x w roku), obejmujących: dojazd, pracę inżyniera, wszystkie części zużywalne i zamienne.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  <w:p w:rsidR="003A6C76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Serwisowanie analizatora i sprzętu dodatkowego (w tym: jednostka sterująca, monitor, drukarka) przez cały okres dzierżawy  obejmujące: dojazd, pracę inżyniera serwisu, wszystkie  części zużywalne i  zamienne oraz niezbędne akcesoria (np. wężyki, </w:t>
            </w:r>
            <w:r w:rsidRPr="007714C3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przewody odczynnikowe, igły, zawory, elementy  mechaniczne i elektryczne analizatora) związane z bieżącą pracą oferowanego urządzenia.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TAK</w:t>
            </w:r>
          </w:p>
          <w:p w:rsidR="003A6C76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Bezpłatne aktualizacje oprogramowania podczas trwania umowy.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Interwencja serwisu na zgłoszenie awarii (przyjazd do Zamawiającego w celu naprawy) do 24h w dni robocze od momentu zgłoszenia awarii autoryzowanemu serwisowi (telefonicznie, pocztą elektroniczną).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Bezpłatne przes</w:t>
            </w:r>
            <w:r w:rsidR="00D07E19" w:rsidRPr="007714C3">
              <w:rPr>
                <w:rFonts w:asciiTheme="minorHAnsi" w:hAnsiTheme="minorHAnsi" w:cstheme="minorHAnsi"/>
                <w:sz w:val="24"/>
                <w:szCs w:val="24"/>
              </w:rPr>
              <w:t>zkolenie użytkowników (minimum 7</w:t>
            </w: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pracowników) z zakresu obsługi analizatora (minimum 2 szkolenia) w miejscu instalacji urządzenia.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W przypadku trzykrotnej awarii tego samego zespołu/podzespołu/modułu systemu w okresie obowiązywania umowy – wymiana systemu na nowy o parametrach nie niższych niż oferowany, na koszt Wykonawcy.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7714C3" w:rsidTr="003A6C76">
        <w:trPr>
          <w:trHeight w:val="451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C21C44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Pokrycie kosztów uczestnictwa w dostępnych zewnątrzlaboratoryjnych kontrolach jakości w zakresie wszystkich oznaczeń, które  oferuje Wykonawca.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Aktualne, zgodnie z obowiązującymi przepisami karty charakterystyki substancji niebezpiecznych dla odczynników dostarczone wraz z pierwszą dostawą, w przypadku aktualizacji oraz na każde żądanie Zamawiającego.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7714C3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21C44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44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44" w:rsidRPr="007714C3" w:rsidRDefault="00C21C44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2 chłodziarki laboratoryjne do magazynowania odczynników o </w:t>
            </w:r>
            <w:r w:rsidRPr="007714C3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wymiarach nie większych niż (S/G/W) 600 mm/660 mm/2000 mm, z regulowanymi półkami min 4, z przeszklonymi drzwiami, z zakresem temperatur od +3 do +16°C, o pojemności brutto nie mniejszej niż 400 L, z temperaturą wnętrza widoczną na wyświetlaczu zewnętrznym bez konieczności otwierania drzwi</w:t>
            </w:r>
            <w:r w:rsidR="004202F0" w:rsidRPr="007714C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44" w:rsidRPr="007714C3" w:rsidRDefault="00A05D2A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44" w:rsidRPr="007714C3" w:rsidRDefault="00C21C44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21C44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44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44" w:rsidRPr="007714C3" w:rsidRDefault="004202F0" w:rsidP="004202F0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1 zamrażarka laboratoryjna</w:t>
            </w:r>
            <w:r w:rsidR="00A71B6D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do</w:t>
            </w: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magazynowania kontroli/kalibratorów o wymiarach zewnętrznych nie większych niż (S/G/W) 600 mm/660 mm/2000 mm, z regulowanymi półkami min 4, z pełnymi drzwiami, z zakresem temperatur od -9 do -30°C, o pojemności brutto nie mniejszej niż 300 L, z temperaturą wnętrza widoczną na wyświetlaczu zewnętrznym bez konieczności otwierania drzwi.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44" w:rsidRPr="007714C3" w:rsidRDefault="00A05D2A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44" w:rsidRPr="007714C3" w:rsidRDefault="00C21C44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202F0" w:rsidRPr="007714C3" w:rsidTr="003A6C76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2F0" w:rsidRPr="007714C3" w:rsidRDefault="000E797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2F0" w:rsidRPr="007714C3" w:rsidRDefault="004202F0" w:rsidP="00401A9B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sz w:val="24"/>
                <w:szCs w:val="24"/>
              </w:rPr>
              <w:t>1 zamrażarka</w:t>
            </w:r>
            <w:r w:rsidR="00A71B6D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401A9B" w:rsidRPr="007714C3">
              <w:rPr>
                <w:rFonts w:asciiTheme="minorHAnsi" w:hAnsiTheme="minorHAnsi" w:cstheme="minorHAnsi"/>
                <w:sz w:val="24"/>
                <w:szCs w:val="24"/>
              </w:rPr>
              <w:t>laboratoryjna skrzyniowa</w:t>
            </w:r>
            <w:r w:rsidR="00D07E19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do magazynowania kontroli/kalibratorów</w:t>
            </w:r>
            <w:r w:rsidR="00401A9B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o wymiarach zewnętrznyc</w:t>
            </w:r>
            <w:r w:rsidR="00726E8B" w:rsidRPr="007714C3">
              <w:rPr>
                <w:rFonts w:asciiTheme="minorHAnsi" w:hAnsiTheme="minorHAnsi" w:cstheme="minorHAnsi"/>
                <w:sz w:val="24"/>
                <w:szCs w:val="24"/>
              </w:rPr>
              <w:t>h nie większych niż (S/G/W) 1200</w:t>
            </w:r>
            <w:r w:rsidR="00401A9B" w:rsidRPr="007714C3">
              <w:rPr>
                <w:rFonts w:asciiTheme="minorHAnsi" w:hAnsiTheme="minorHAnsi" w:cstheme="minorHAnsi"/>
                <w:sz w:val="24"/>
                <w:szCs w:val="24"/>
              </w:rPr>
              <w:t>/900/1000, o pojemności</w:t>
            </w:r>
            <w:r w:rsidR="00726E8B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użytkowej nie mniejszej niż 200</w:t>
            </w:r>
            <w:r w:rsidR="00401A9B" w:rsidRPr="007714C3">
              <w:rPr>
                <w:rFonts w:asciiTheme="minorHAnsi" w:hAnsiTheme="minorHAnsi" w:cstheme="minorHAnsi"/>
                <w:sz w:val="24"/>
                <w:szCs w:val="24"/>
              </w:rPr>
              <w:t xml:space="preserve"> L, z zakresem temperatur od -16 do -25°C, z panelem sterowania z możliwością ustawienia żądanej temperatury oraz widoczną temperaturą wnętrza na wyświetlaczu zewnętrznym bez konieczności otwierania pokrywy zamrażarki</w:t>
            </w:r>
            <w:r w:rsidR="00C6277A" w:rsidRPr="007714C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2F0" w:rsidRPr="007714C3" w:rsidRDefault="00A05D2A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14C3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2F0" w:rsidRPr="007714C3" w:rsidRDefault="004202F0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1056C6" w:rsidRPr="007714C3" w:rsidRDefault="001056C6">
      <w:pPr>
        <w:rPr>
          <w:rFonts w:asciiTheme="minorHAnsi" w:hAnsiTheme="minorHAnsi" w:cstheme="minorHAnsi"/>
          <w:b/>
          <w:sz w:val="24"/>
          <w:szCs w:val="24"/>
        </w:rPr>
      </w:pPr>
    </w:p>
    <w:p w:rsidR="00C6277A" w:rsidRDefault="00C6277A" w:rsidP="00C6277A">
      <w:pPr>
        <w:ind w:left="-652"/>
        <w:rPr>
          <w:rFonts w:asciiTheme="minorHAnsi" w:hAnsiTheme="minorHAnsi" w:cstheme="minorHAnsi"/>
          <w:b/>
          <w:sz w:val="24"/>
          <w:szCs w:val="24"/>
        </w:rPr>
      </w:pPr>
      <w:r w:rsidRPr="007714C3">
        <w:rPr>
          <w:rFonts w:asciiTheme="minorHAnsi" w:hAnsiTheme="minorHAnsi" w:cstheme="minorHAnsi"/>
          <w:b/>
          <w:sz w:val="24"/>
          <w:szCs w:val="24"/>
        </w:rPr>
        <w:t>Niespełnienie któregokolwiek z wymienionych parametrów granicznych spowoduje odrzucenie oferty.</w:t>
      </w:r>
    </w:p>
    <w:p w:rsidR="007714C3" w:rsidRPr="007714C3" w:rsidRDefault="007714C3" w:rsidP="00C6277A">
      <w:pPr>
        <w:ind w:left="-652"/>
        <w:rPr>
          <w:rFonts w:asciiTheme="minorHAnsi" w:hAnsiTheme="minorHAnsi" w:cstheme="minorHAnsi"/>
          <w:b/>
          <w:sz w:val="24"/>
          <w:szCs w:val="24"/>
        </w:rPr>
      </w:pPr>
    </w:p>
    <w:p w:rsidR="007714C3" w:rsidRPr="00B259D1" w:rsidRDefault="007714C3" w:rsidP="007714C3">
      <w:pPr>
        <w:ind w:left="6237" w:right="-142"/>
        <w:jc w:val="center"/>
        <w:rPr>
          <w:rFonts w:ascii="Calibri" w:hAnsi="Calibri" w:cs="Calibri"/>
          <w:sz w:val="24"/>
          <w:szCs w:val="24"/>
        </w:rPr>
      </w:pPr>
      <w:r w:rsidRPr="00B259D1">
        <w:rPr>
          <w:rFonts w:ascii="Calibri" w:hAnsi="Calibri" w:cs="Calibri"/>
          <w:sz w:val="24"/>
          <w:szCs w:val="24"/>
        </w:rPr>
        <w:t xml:space="preserve">___________________________________________                                                                                                                                                        Dokument należy podpisać kwalifikowanym podpisem elektronicznym przez </w:t>
      </w:r>
      <w:r w:rsidRPr="00B259D1">
        <w:rPr>
          <w:rFonts w:ascii="Calibri" w:hAnsi="Calibri" w:cs="Calibri"/>
          <w:sz w:val="24"/>
          <w:szCs w:val="24"/>
        </w:rPr>
        <w:lastRenderedPageBreak/>
        <w:t>osobę(y) uprawnioną(e) do składania oświadczeń woli w imieniu Wykonawcy, zgodnie z formą reprezentacji Wykonawcy określoną w dokumencie rejestracyjnym (ewidencyjnym) właściwym dla formy organizacyjnej Wykonawcy                         lub pełnomocnika</w:t>
      </w:r>
    </w:p>
    <w:p w:rsidR="009A4815" w:rsidRPr="007714C3" w:rsidRDefault="009A4815">
      <w:pPr>
        <w:rPr>
          <w:rFonts w:asciiTheme="minorHAnsi" w:hAnsiTheme="minorHAnsi" w:cstheme="minorHAnsi"/>
          <w:b/>
          <w:sz w:val="24"/>
          <w:szCs w:val="24"/>
        </w:rPr>
      </w:pPr>
    </w:p>
    <w:p w:rsidR="009A4815" w:rsidRPr="007714C3" w:rsidRDefault="009A4815">
      <w:pPr>
        <w:rPr>
          <w:rFonts w:asciiTheme="minorHAnsi" w:hAnsiTheme="minorHAnsi" w:cstheme="minorHAnsi"/>
          <w:b/>
          <w:sz w:val="24"/>
          <w:szCs w:val="24"/>
        </w:rPr>
      </w:pPr>
    </w:p>
    <w:sectPr w:rsidR="009A4815" w:rsidRPr="007714C3">
      <w:headerReference w:type="default" r:id="rId7"/>
      <w:footerReference w:type="default" r:id="rId8"/>
      <w:pgSz w:w="16838" w:h="11906" w:orient="landscape"/>
      <w:pgMar w:top="1418" w:right="1418" w:bottom="766" w:left="1418" w:header="902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645" w:rsidRDefault="00C81645">
      <w:r>
        <w:separator/>
      </w:r>
    </w:p>
  </w:endnote>
  <w:endnote w:type="continuationSeparator" w:id="0">
    <w:p w:rsidR="00C81645" w:rsidRDefault="00C81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6C6" w:rsidRDefault="001056C6">
    <w:pPr>
      <w:rPr>
        <w:rFonts w:ascii="Bookman Old Style" w:hAnsi="Bookman Old Style" w:cs="Bookman Old Style"/>
        <w:sz w:val="16"/>
        <w:szCs w:val="16"/>
      </w:rPr>
    </w:pPr>
  </w:p>
  <w:p w:rsidR="001056C6" w:rsidRDefault="00C404FD">
    <w:pPr>
      <w:ind w:right="360"/>
      <w:jc w:val="center"/>
      <w:rPr>
        <w:rFonts w:ascii="Arial" w:hAnsi="Arial" w:cs="Arial"/>
      </w:rPr>
    </w:pPr>
    <w:r>
      <w:rPr>
        <w:rFonts w:ascii="Arial" w:hAnsi="Arial" w:cs="Arial"/>
        <w:sz w:val="16"/>
        <w:szCs w:val="16"/>
      </w:rPr>
      <w:t xml:space="preserve">str.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PAGE</w:instrText>
    </w:r>
    <w:r>
      <w:rPr>
        <w:rFonts w:ascii="Arial" w:hAnsi="Arial" w:cs="Arial"/>
        <w:sz w:val="16"/>
        <w:szCs w:val="16"/>
      </w:rPr>
      <w:fldChar w:fldCharType="separate"/>
    </w:r>
    <w:r w:rsidR="00986A14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/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986A14">
      <w:rPr>
        <w:rFonts w:ascii="Arial" w:hAnsi="Arial" w:cs="Arial"/>
        <w:noProof/>
        <w:sz w:val="16"/>
        <w:szCs w:val="16"/>
      </w:rPr>
      <w:t>8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645" w:rsidRDefault="00C81645">
      <w:r>
        <w:separator/>
      </w:r>
    </w:p>
  </w:footnote>
  <w:footnote w:type="continuationSeparator" w:id="0">
    <w:p w:rsidR="00C81645" w:rsidRDefault="00C81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4C3" w:rsidRDefault="007714C3" w:rsidP="007714C3">
    <w:pPr>
      <w:spacing w:line="276" w:lineRule="auto"/>
      <w:ind w:left="-851"/>
      <w:jc w:val="right"/>
      <w:rPr>
        <w:rFonts w:asciiTheme="minorHAnsi" w:hAnsiTheme="minorHAnsi" w:cstheme="minorHAnsi"/>
        <w:color w:val="A6A6A6"/>
        <w:sz w:val="24"/>
      </w:rPr>
    </w:pPr>
    <w:r w:rsidRPr="007714C3">
      <w:rPr>
        <w:rFonts w:asciiTheme="minorHAnsi" w:hAnsiTheme="minorHAnsi" w:cstheme="minorHAnsi"/>
        <w:color w:val="A6A6A6"/>
        <w:sz w:val="24"/>
      </w:rPr>
      <w:t>Załącznik nr 2.</w:t>
    </w:r>
    <w:r>
      <w:rPr>
        <w:rFonts w:asciiTheme="minorHAnsi" w:hAnsiTheme="minorHAnsi" w:cstheme="minorHAnsi"/>
        <w:color w:val="A6A6A6"/>
        <w:sz w:val="24"/>
      </w:rPr>
      <w:t>2</w:t>
    </w:r>
    <w:r w:rsidRPr="007714C3">
      <w:rPr>
        <w:rFonts w:asciiTheme="minorHAnsi" w:hAnsiTheme="minorHAnsi" w:cstheme="minorHAnsi"/>
        <w:color w:val="A6A6A6"/>
        <w:sz w:val="24"/>
      </w:rPr>
      <w:t xml:space="preserve"> Numer referencyjny nadany sprawie przez Zamawiającego: DZ/DZ-381-1-</w:t>
    </w:r>
    <w:r>
      <w:rPr>
        <w:rFonts w:asciiTheme="minorHAnsi" w:hAnsiTheme="minorHAnsi" w:cstheme="minorHAnsi"/>
        <w:color w:val="A6A6A6"/>
        <w:sz w:val="24"/>
      </w:rPr>
      <w:t>26/26</w:t>
    </w:r>
  </w:p>
  <w:p w:rsidR="007714C3" w:rsidRDefault="007714C3" w:rsidP="00C6277A">
    <w:pPr>
      <w:spacing w:line="276" w:lineRule="auto"/>
      <w:ind w:left="-851"/>
      <w:rPr>
        <w:rFonts w:asciiTheme="minorHAnsi" w:hAnsiTheme="minorHAnsi" w:cstheme="minorHAnsi"/>
        <w:color w:val="A6A6A6"/>
        <w:sz w:val="24"/>
      </w:rPr>
    </w:pPr>
  </w:p>
  <w:p w:rsidR="00C6277A" w:rsidRDefault="00C6277A" w:rsidP="00C6277A">
    <w:pPr>
      <w:spacing w:line="276" w:lineRule="auto"/>
      <w:ind w:left="-851"/>
      <w:rPr>
        <w:rFonts w:asciiTheme="minorHAnsi" w:hAnsiTheme="minorHAnsi" w:cstheme="minorHAnsi"/>
        <w:color w:val="365F91"/>
        <w:sz w:val="24"/>
      </w:rPr>
    </w:pPr>
    <w:r w:rsidRPr="006738B7">
      <w:rPr>
        <w:rFonts w:asciiTheme="minorHAnsi" w:hAnsiTheme="minorHAnsi" w:cstheme="minorHAnsi"/>
        <w:color w:val="365F91"/>
        <w:sz w:val="24"/>
      </w:rPr>
      <w:t>SUKCESYWNE DOSTAWY ODCZYNNIKÓW</w:t>
    </w:r>
    <w:r>
      <w:rPr>
        <w:rFonts w:asciiTheme="minorHAnsi" w:hAnsiTheme="minorHAnsi" w:cstheme="minorHAnsi"/>
        <w:color w:val="365F91"/>
        <w:sz w:val="24"/>
      </w:rPr>
      <w:t xml:space="preserve"> I MATERIAŁÓW ZUŻYWALNYCH WRAZ Z DZIERŻAWĄ ANALIZATORA IMMUNOCHEMICZNEGO</w:t>
    </w:r>
    <w:r w:rsidRPr="006738B7">
      <w:rPr>
        <w:rFonts w:asciiTheme="minorHAnsi" w:hAnsiTheme="minorHAnsi" w:cstheme="minorHAnsi"/>
        <w:color w:val="365F91"/>
        <w:sz w:val="24"/>
      </w:rPr>
      <w:t xml:space="preserve"> </w:t>
    </w:r>
  </w:p>
  <w:p w:rsidR="001056C6" w:rsidRDefault="00C6277A" w:rsidP="00C6277A">
    <w:pPr>
      <w:pStyle w:val="Bezodstpw"/>
      <w:spacing w:line="276" w:lineRule="auto"/>
      <w:ind w:left="-851"/>
      <w:rPr>
        <w:rFonts w:ascii="Calibri" w:hAnsi="Calibri" w:cs="Calibri"/>
        <w:sz w:val="20"/>
        <w:szCs w:val="20"/>
      </w:rPr>
    </w:pPr>
    <w:r w:rsidRPr="006738B7">
      <w:rPr>
        <w:rFonts w:asciiTheme="minorHAnsi" w:hAnsiTheme="minorHAnsi" w:cstheme="minorHAnsi"/>
        <w:b/>
        <w:sz w:val="24"/>
      </w:rPr>
      <w:t>P A R A M E T R Y  W Y M A G A N 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8F5A63"/>
    <w:multiLevelType w:val="hybridMultilevel"/>
    <w:tmpl w:val="2F70545C"/>
    <w:lvl w:ilvl="0" w:tplc="0390F77E">
      <w:start w:val="1"/>
      <w:numFmt w:val="bullet"/>
      <w:lvlText w:val=""/>
      <w:lvlJc w:val="left"/>
      <w:pPr>
        <w:ind w:left="841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" w15:restartNumberingAfterBreak="0">
    <w:nsid w:val="55B078AF"/>
    <w:multiLevelType w:val="hybridMultilevel"/>
    <w:tmpl w:val="E51C138A"/>
    <w:lvl w:ilvl="0" w:tplc="F2B498E4">
      <w:start w:val="1"/>
      <w:numFmt w:val="bullet"/>
      <w:lvlText w:val=""/>
      <w:lvlJc w:val="left"/>
      <w:pPr>
        <w:ind w:left="481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6C6"/>
    <w:rsid w:val="000E797E"/>
    <w:rsid w:val="001056C6"/>
    <w:rsid w:val="001346E8"/>
    <w:rsid w:val="001F1D7E"/>
    <w:rsid w:val="003A6C76"/>
    <w:rsid w:val="003C0BD2"/>
    <w:rsid w:val="003C499C"/>
    <w:rsid w:val="00401A9B"/>
    <w:rsid w:val="004202F0"/>
    <w:rsid w:val="004553F3"/>
    <w:rsid w:val="004C1750"/>
    <w:rsid w:val="004C2842"/>
    <w:rsid w:val="005B5402"/>
    <w:rsid w:val="00726E8B"/>
    <w:rsid w:val="0076567F"/>
    <w:rsid w:val="007714C3"/>
    <w:rsid w:val="007D185E"/>
    <w:rsid w:val="008C4741"/>
    <w:rsid w:val="008C58DA"/>
    <w:rsid w:val="00986A14"/>
    <w:rsid w:val="009A4815"/>
    <w:rsid w:val="009B7CE6"/>
    <w:rsid w:val="009C072B"/>
    <w:rsid w:val="00A05D2A"/>
    <w:rsid w:val="00A71B6D"/>
    <w:rsid w:val="00AC05C2"/>
    <w:rsid w:val="00B45274"/>
    <w:rsid w:val="00C17EE3"/>
    <w:rsid w:val="00C21C44"/>
    <w:rsid w:val="00C404FD"/>
    <w:rsid w:val="00C6277A"/>
    <w:rsid w:val="00C81645"/>
    <w:rsid w:val="00C9462E"/>
    <w:rsid w:val="00CE3FF1"/>
    <w:rsid w:val="00D07E19"/>
    <w:rsid w:val="00E036D9"/>
    <w:rsid w:val="00EC57BA"/>
    <w:rsid w:val="00F51661"/>
    <w:rsid w:val="00FC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01202F-5500-46E1-A073-7C0B827CE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46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6E8"/>
  </w:style>
  <w:style w:type="paragraph" w:styleId="Stopka">
    <w:name w:val="footer"/>
    <w:basedOn w:val="Normalny"/>
    <w:link w:val="StopkaZnak"/>
    <w:uiPriority w:val="99"/>
    <w:unhideWhenUsed/>
    <w:rsid w:val="001346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46E8"/>
  </w:style>
  <w:style w:type="paragraph" w:customStyle="1" w:styleId="Tekstpodstawowy21">
    <w:name w:val="Tekst podstawowy 21"/>
    <w:basedOn w:val="Normalny"/>
    <w:uiPriority w:val="99"/>
    <w:qFormat/>
    <w:rsid w:val="001F1D7E"/>
    <w:pPr>
      <w:spacing w:after="120" w:line="480" w:lineRule="auto"/>
    </w:pPr>
    <w:rPr>
      <w:sz w:val="28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52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27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05D2A"/>
    <w:pPr>
      <w:ind w:left="720"/>
      <w:contextualSpacing/>
    </w:pPr>
  </w:style>
  <w:style w:type="paragraph" w:styleId="Bezodstpw">
    <w:name w:val="No Spacing"/>
    <w:uiPriority w:val="99"/>
    <w:qFormat/>
    <w:rsid w:val="00C6277A"/>
    <w:rPr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1068</Words>
  <Characters>6412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pieczątka firmowa oferenta</vt:lpstr>
    </vt:vector>
  </TitlesOfParts>
  <Company/>
  <LinksUpToDate>false</LinksUpToDate>
  <CharactersWithSpaces>7466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pieczątka firmowa oferenta</dc:title>
  <dc:subject/>
  <dc:creator>Dział Zamówień</dc:creator>
  <dc:description/>
  <cp:lastModifiedBy>Joanna Domagalska-Góra</cp:lastModifiedBy>
  <cp:revision>3</cp:revision>
  <cp:lastPrinted>2026-03-03T13:01:00Z</cp:lastPrinted>
  <dcterms:created xsi:type="dcterms:W3CDTF">2026-02-27T05:28:00Z</dcterms:created>
  <dcterms:modified xsi:type="dcterms:W3CDTF">2026-03-03T13:01:00Z</dcterms:modified>
  <dc:language>pl-PL</dc:language>
</cp:coreProperties>
</file>